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Préparer puis arbitrer le trimestre</w:t>
      </w:r>
    </w:p>
    <w:p>
      <w:r>
        <w:t>Trame modifiable · Exemple fictif · À adapter au contexte de l’organisation</w:t>
      </w:r>
    </w:p>
    <w:p>
      <w:pPr>
        <w:pStyle w:val="Heading1"/>
      </w:pPr>
      <w:r>
        <w:t>Deux usages, deux niveaux de décision</w:t>
      </w:r>
    </w:p>
    <w:p>
      <w:r>
        <w:t>Avant un PI Planning, les équipes préparent capacité et dépendances pour leurs engagements. Dans une revue de portefeuille DSI, les sponsors arbitrent quels projets et livrables peuvent être engagés. Le kit aide à relier ces décisions ; il n’est pas un guide officiel du cadre SAFe.</w:t>
      </w:r>
    </w:p>
    <w:p>
      <w:pPr>
        <w:pStyle w:val="Heading1"/>
      </w:pPr>
      <w:r>
        <w:t>Avant la séance</w:t>
      </w:r>
    </w:p>
    <w:p>
      <w:pPr>
        <w:pStyle w:val="ListBullet"/>
      </w:pPr>
      <w:r>
        <w:t>Demandes recevables — Sponsor métier : Objectif, échéance justifiée, charge estimée, source.</w:t>
      </w:r>
    </w:p>
    <w:p>
      <w:pPr>
        <w:pStyle w:val="ListBullet"/>
      </w:pPr>
      <w:r>
        <w:t>Capacité nette — Responsable de chaque équipe : Capacité brute − run − engagements, sur la même période.</w:t>
      </w:r>
    </w:p>
    <w:p>
      <w:pPr>
        <w:pStyle w:val="ListBullet"/>
      </w:pPr>
      <w:r>
        <w:t>Dépendances — Équipes demandeuse et sollicitée : Livrable, date attendue, confirmation et effet du retard.</w:t>
      </w:r>
    </w:p>
    <w:p>
      <w:pPr>
        <w:pStyle w:val="ListBullet"/>
      </w:pPr>
      <w:r>
        <w:t>Arbitrage — Direction IT et sponsors : Options, contraintes non négociables, conséquences des reports.</w:t>
      </w:r>
    </w:p>
    <w:p>
      <w:pPr>
        <w:pStyle w:val="ListBullet"/>
      </w:pPr>
      <w:r>
        <w:t>Mémoire de décision — Responsable de revue : Choix, décideur, date, responsable, signal de réexamen.</w:t>
      </w:r>
    </w:p>
    <w:p>
      <w:pPr>
        <w:pStyle w:val="Heading1"/>
      </w:pPr>
      <w:r>
        <w:t>Trame de revue DSI : trois heures à adapter</w:t>
      </w:r>
    </w:p>
    <w:p>
      <w:pPr>
        <w:pStyle w:val="Heading2"/>
      </w:pPr>
      <w:r>
        <w:t>20 min — Confirmer les faits</w:t>
      </w:r>
    </w:p>
    <w:p>
      <w:r>
        <w:t>Période commune, données manquantes, obligations et capacité nette.</w:t>
      </w:r>
    </w:p>
    <w:p>
      <w:pPr>
        <w:pStyle w:val="Heading2"/>
      </w:pPr>
      <w:r>
        <w:t>40 min — Examiner les dépendances</w:t>
      </w:r>
    </w:p>
    <w:p>
      <w:r>
        <w:t>Faire confirmer chaque livrable interéquipes. Une date non confirmée reste un risque.</w:t>
      </w:r>
    </w:p>
    <w:p>
      <w:pPr>
        <w:pStyle w:val="Heading2"/>
      </w:pPr>
      <w:r>
        <w:t>60 min — Comparer les options</w:t>
      </w:r>
    </w:p>
    <w:p>
      <w:r>
        <w:t>Comparer A et B avec les mêmes hypothèses. Montrer les reports et leurs conséquences métier.</w:t>
      </w:r>
    </w:p>
    <w:p>
      <w:pPr>
        <w:pStyle w:val="Heading2"/>
      </w:pPr>
      <w:r>
        <w:t>40 min — Trancher</w:t>
      </w:r>
    </w:p>
    <w:p>
      <w:r>
        <w:t>Le décideur valide les engagements, responsables et conditions. Le score ne remplace pas son jugement.</w:t>
      </w:r>
    </w:p>
    <w:p>
      <w:pPr>
        <w:pStyle w:val="Heading2"/>
      </w:pPr>
      <w:r>
        <w:t>20 min — Restituer</w:t>
      </w:r>
    </w:p>
    <w:p>
      <w:r>
        <w:t>Partager décisions, risques et prochaine revue. Ne pas transformer un accord conditionnel en promesse ferme.</w:t>
      </w:r>
    </w:p>
    <w:p>
      <w:pPr>
        <w:pStyle w:val="Heading1"/>
      </w:pPr>
      <w:r>
        <w:t>Exemple rempli : pourquoi retenir A</w:t>
      </w:r>
    </w:p>
    <w:p>
      <w:r>
        <w:t>Après run et engagements, les capacités Data / Sécurité / QA sont 20 / 10 / 18 jours. Tout accepter exige 22 / 10 / 21 jours. A engage conformité + CRM : charges 14 / 8 / 15, marges 6 / 2 / 3. B engage conformité + automatisation : charges 12 / 9 / 14, marges 8 / 1 / 4.</w:t>
      </w:r>
    </w:p>
    <w:p>
      <w:r>
        <w:t>Le choix A illustre une priorité CRM validée par les sponsors ; il ne découle pas automatiquement des marges. L’automatisation est reportée. La contrainte réglementaire et les dépendances doivent encore être confirmées.</w:t>
      </w:r>
    </w:p>
    <w:p>
      <w:pPr>
        <w:pStyle w:val="Heading1"/>
      </w:pPr>
      <w:r>
        <w:t>Après la séance</w:t>
      </w:r>
    </w:p>
    <w:p>
      <w:pPr>
        <w:pStyle w:val="ListBullet"/>
      </w:pPr>
      <w:r>
        <w:t>Envoyer le journal de décision et faire confirmer les responsabilités.</w:t>
      </w:r>
    </w:p>
    <w:p>
      <w:pPr>
        <w:pStyle w:val="ListBullet"/>
      </w:pPr>
      <w:r>
        <w:t>Réexaminer le 19/10/2026 dans l’exemple ; avancer la revue si une estimation change.</w:t>
      </w:r>
    </w:p>
    <w:p>
      <w:pPr>
        <w:pStyle w:val="ListBullet"/>
      </w:pPr>
      <w:r>
        <w:t>Conserver le scénario B et les motifs du choix pour comprendre une future révision.</w:t>
      </w:r>
    </w:p>
    <w:p>
      <w:r>
        <w:t>Diagnostic : https://www.airsaas.io/assets/downloads/diagnostic-capacite-dsi-airsaas.xlsx</w:t>
      </w:r>
    </w:p>
    <w:p>
      <w:r>
        <w:t>Démo : https://www.airsaas.io/fr/meetings-pages?intent=capacity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